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D5286B">
      <w:pPr>
        <w:pStyle w:val="3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Титульний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аркуш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br/>
        <w:t>(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інформацію</w:t>
      </w:r>
      <w:proofErr w:type="spellEnd"/>
      <w:r>
        <w:rPr>
          <w:rFonts w:eastAsia="Times New Roman"/>
          <w:color w:val="000000"/>
        </w:rPr>
        <w:t>)</w:t>
      </w:r>
    </w:p>
    <w:tbl>
      <w:tblPr>
        <w:tblW w:w="4956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9"/>
        <w:gridCol w:w="4418"/>
        <w:gridCol w:w="180"/>
        <w:gridCol w:w="821"/>
        <w:gridCol w:w="180"/>
        <w:gridCol w:w="4286"/>
      </w:tblGrid>
      <w:tr w:rsidR="00000000" w:rsidTr="00D5286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000000" w:rsidTr="00D5286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 xml:space="preserve">(дата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реєстрації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емітентом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електронного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документа)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000000" w:rsidTr="00D5286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№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12/04-19/ос.3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000000" w:rsidTr="00D5286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вихідний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реєстраційний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номер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електронного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документа)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</w:tr>
      <w:tr w:rsidR="00000000" w:rsidTr="00D5286B"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both"/>
              <w:rPr>
                <w:rFonts w:eastAsia="Times New Roman"/>
                <w:color w:val="000000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</w:rPr>
              <w:t>П</w:t>
            </w:r>
            <w:proofErr w:type="gramEnd"/>
            <w:r>
              <w:rPr>
                <w:rFonts w:eastAsia="Times New Roman"/>
                <w:color w:val="000000"/>
              </w:rPr>
              <w:t>ідтверджую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ідентичність</w:t>
            </w:r>
            <w:proofErr w:type="spellEnd"/>
            <w:r>
              <w:rPr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</w:rPr>
              <w:t>достовірність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розкрита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відповідно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вимог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Положення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розкриття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емітентами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затвердженого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рішенням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Національної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комісії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color w:val="000000"/>
              </w:rPr>
              <w:t xml:space="preserve"> та фондового ринку </w:t>
            </w:r>
            <w:proofErr w:type="spellStart"/>
            <w:r>
              <w:rPr>
                <w:rFonts w:eastAsia="Times New Roman"/>
                <w:color w:val="000000"/>
              </w:rPr>
              <w:t>від</w:t>
            </w:r>
            <w:proofErr w:type="spellEnd"/>
            <w:r>
              <w:rPr>
                <w:rFonts w:eastAsia="Times New Roman"/>
                <w:color w:val="000000"/>
              </w:rPr>
              <w:t xml:space="preserve"> 03 </w:t>
            </w:r>
            <w:proofErr w:type="spellStart"/>
            <w:r>
              <w:rPr>
                <w:rFonts w:eastAsia="Times New Roman"/>
                <w:color w:val="000000"/>
              </w:rPr>
              <w:t>грудня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2013 року № 28</w:t>
            </w:r>
            <w:r>
              <w:rPr>
                <w:rFonts w:eastAsia="Times New Roman"/>
                <w:color w:val="000000"/>
              </w:rPr>
              <w:t xml:space="preserve">26, </w:t>
            </w:r>
            <w:proofErr w:type="spellStart"/>
            <w:r>
              <w:rPr>
                <w:rFonts w:eastAsia="Times New Roman"/>
                <w:color w:val="000000"/>
              </w:rPr>
              <w:t>зареєстрованого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Міністерстві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юстиції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 xml:space="preserve"> 24 </w:t>
            </w:r>
            <w:proofErr w:type="spellStart"/>
            <w:r>
              <w:rPr>
                <w:rFonts w:eastAsia="Times New Roman"/>
                <w:color w:val="000000"/>
              </w:rPr>
              <w:t>грудня</w:t>
            </w:r>
            <w:proofErr w:type="spellEnd"/>
            <w:r>
              <w:rPr>
                <w:rFonts w:eastAsia="Times New Roman"/>
                <w:color w:val="000000"/>
              </w:rPr>
              <w:t xml:space="preserve"> 2013 року за № 2180/24712 (</w:t>
            </w:r>
            <w:proofErr w:type="spellStart"/>
            <w:r>
              <w:rPr>
                <w:rFonts w:eastAsia="Times New Roman"/>
                <w:color w:val="000000"/>
              </w:rPr>
              <w:t>із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змінами</w:t>
            </w:r>
            <w:proofErr w:type="spellEnd"/>
            <w:r>
              <w:rPr>
                <w:rFonts w:eastAsia="Times New Roman"/>
                <w:color w:val="000000"/>
              </w:rPr>
              <w:t xml:space="preserve">) </w:t>
            </w:r>
          </w:p>
        </w:tc>
      </w:tr>
      <w:tr w:rsidR="00000000" w:rsidTr="00D5286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4476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Президент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Лимар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Володимир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ванович</w:t>
            </w:r>
            <w:proofErr w:type="spellEnd"/>
          </w:p>
        </w:tc>
      </w:tr>
      <w:tr w:rsidR="00000000" w:rsidTr="00D5286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proofErr w:type="gramStart"/>
            <w:r>
              <w:rPr>
                <w:rStyle w:val="small-text1"/>
                <w:rFonts w:eastAsia="Times New Roman"/>
                <w:color w:val="000000"/>
              </w:rPr>
              <w:t>п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ідпис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</w:t>
            </w:r>
            <w:proofErr w:type="spellStart"/>
            <w:proofErr w:type="gramStart"/>
            <w:r>
              <w:rPr>
                <w:rStyle w:val="small-text1"/>
                <w:rFonts w:eastAsia="Times New Roman"/>
                <w:color w:val="000000"/>
              </w:rPr>
              <w:t>пр</w:t>
            </w:r>
            <w:proofErr w:type="gramEnd"/>
            <w:r>
              <w:rPr>
                <w:rStyle w:val="small-text1"/>
                <w:rFonts w:eastAsia="Times New Roman"/>
                <w:color w:val="000000"/>
              </w:rPr>
              <w:t>ізвище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ініціали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керівника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</w:tr>
    </w:tbl>
    <w:p w:rsidR="00000000" w:rsidRDefault="00D5286B">
      <w:pPr>
        <w:rPr>
          <w:rFonts w:eastAsia="Times New Roman"/>
          <w:color w:val="000000"/>
        </w:rPr>
      </w:pPr>
    </w:p>
    <w:p w:rsidR="00000000" w:rsidRDefault="00D5286B">
      <w:pPr>
        <w:pStyle w:val="4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t>Особлива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інформація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інформація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іпотечні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цінні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папери</w:t>
      </w:r>
      <w:proofErr w:type="spellEnd"/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сертифікати</w:t>
      </w:r>
      <w:proofErr w:type="spellEnd"/>
      <w:r>
        <w:rPr>
          <w:rFonts w:eastAsia="Times New Roman"/>
          <w:color w:val="000000"/>
        </w:rPr>
        <w:t xml:space="preserve"> фонду </w:t>
      </w:r>
      <w:proofErr w:type="spellStart"/>
      <w:r>
        <w:rPr>
          <w:rFonts w:eastAsia="Times New Roman"/>
          <w:color w:val="000000"/>
        </w:rPr>
        <w:t>операцій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з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нерухомістю</w:t>
      </w:r>
      <w:proofErr w:type="spellEnd"/>
      <w:r>
        <w:rPr>
          <w:rFonts w:eastAsia="Times New Roman"/>
          <w:color w:val="000000"/>
        </w:rPr>
        <w:t xml:space="preserve">) </w:t>
      </w:r>
      <w:proofErr w:type="spellStart"/>
      <w:r>
        <w:rPr>
          <w:rFonts w:eastAsia="Times New Roman"/>
          <w:color w:val="000000"/>
        </w:rPr>
        <w:t>емітента</w:t>
      </w:r>
      <w:proofErr w:type="spellEnd"/>
    </w:p>
    <w:p w:rsidR="00000000" w:rsidRDefault="00D5286B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I. </w:t>
      </w:r>
      <w:proofErr w:type="spellStart"/>
      <w:r>
        <w:rPr>
          <w:rFonts w:eastAsia="Times New Roman"/>
          <w:color w:val="000000"/>
        </w:rPr>
        <w:t>Загальні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відомості</w:t>
      </w:r>
      <w:proofErr w:type="spellEnd"/>
    </w:p>
    <w:tbl>
      <w:tblPr>
        <w:tblW w:w="5000" w:type="pct"/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10325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1. </w:t>
            </w:r>
            <w:proofErr w:type="spellStart"/>
            <w:r>
              <w:rPr>
                <w:rFonts w:eastAsia="Times New Roman"/>
                <w:color w:val="000000"/>
              </w:rPr>
              <w:t>Повне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найменування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емітента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i/>
                <w:iCs/>
                <w:color w:val="000000"/>
              </w:rPr>
              <w:t>ПРИВАТНЕ АКЦ</w:t>
            </w:r>
            <w:proofErr w:type="gramStart"/>
            <w:r>
              <w:rPr>
                <w:rFonts w:eastAsia="Times New Roman"/>
                <w:i/>
                <w:iCs/>
                <w:color w:val="000000"/>
              </w:rPr>
              <w:t>I</w:t>
            </w:r>
            <w:proofErr w:type="gramEnd"/>
            <w:r>
              <w:rPr>
                <w:rFonts w:eastAsia="Times New Roman"/>
                <w:i/>
                <w:iCs/>
                <w:color w:val="000000"/>
              </w:rPr>
              <w:t>ОНЕРНЕ ТОВАРИСТВО "IНФУЗIЯ"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2. </w:t>
            </w:r>
            <w:proofErr w:type="spellStart"/>
            <w:r>
              <w:rPr>
                <w:rFonts w:eastAsia="Times New Roman"/>
                <w:color w:val="000000"/>
              </w:rPr>
              <w:t>Організаційно-правова</w:t>
            </w:r>
            <w:proofErr w:type="spellEnd"/>
            <w:r>
              <w:rPr>
                <w:rFonts w:eastAsia="Times New Roman"/>
                <w:color w:val="000000"/>
              </w:rPr>
              <w:t xml:space="preserve"> форма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Приватне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акціонерне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товариство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3. </w:t>
            </w:r>
            <w:proofErr w:type="spellStart"/>
            <w:r>
              <w:rPr>
                <w:rFonts w:eastAsia="Times New Roman"/>
                <w:color w:val="000000"/>
              </w:rPr>
              <w:t>Місцезнаходження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04073, м. </w:t>
            </w:r>
            <w:proofErr w:type="spellStart"/>
            <w:r>
              <w:rPr>
                <w:rFonts w:eastAsia="Times New Roman"/>
                <w:color w:val="000000"/>
              </w:rPr>
              <w:t>Київ</w:t>
            </w:r>
            <w:proofErr w:type="spellEnd"/>
            <w:r>
              <w:rPr>
                <w:rFonts w:eastAsia="Times New Roman"/>
                <w:color w:val="000000"/>
              </w:rPr>
              <w:t xml:space="preserve"> обл., м. </w:t>
            </w:r>
            <w:proofErr w:type="spellStart"/>
            <w:r>
              <w:rPr>
                <w:rFonts w:eastAsia="Times New Roman"/>
                <w:color w:val="000000"/>
              </w:rPr>
              <w:t>Київ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Московський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проспект, 21-А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4. </w:t>
            </w:r>
            <w:proofErr w:type="spellStart"/>
            <w:r>
              <w:rPr>
                <w:rFonts w:eastAsia="Times New Roman"/>
                <w:color w:val="000000"/>
              </w:rPr>
              <w:t>Ідентифікаційний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31287944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5. </w:t>
            </w:r>
            <w:proofErr w:type="spellStart"/>
            <w:r>
              <w:rPr>
                <w:rFonts w:eastAsia="Times New Roman"/>
                <w:color w:val="000000"/>
              </w:rPr>
              <w:t>Міжміський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та телефон, факс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0444909375/76/77 0444649266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6. Адреса </w:t>
            </w:r>
            <w:proofErr w:type="spellStart"/>
            <w:r>
              <w:rPr>
                <w:rFonts w:eastAsia="Times New Roman"/>
                <w:color w:val="000000"/>
              </w:rPr>
              <w:t>електронної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пошти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info@infuzia.com.ua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7. </w:t>
            </w:r>
            <w:proofErr w:type="spellStart"/>
            <w:r>
              <w:rPr>
                <w:rFonts w:eastAsia="Times New Roman"/>
                <w:color w:val="000000"/>
              </w:rPr>
              <w:t>Найменування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ідентифікаційний</w:t>
            </w:r>
            <w:proofErr w:type="spellEnd"/>
            <w:r>
              <w:rPr>
                <w:rFonts w:eastAsia="Times New Roman"/>
                <w:color w:val="000000"/>
              </w:rPr>
              <w:t xml:space="preserve"> код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особи, </w:t>
            </w:r>
            <w:proofErr w:type="spellStart"/>
            <w:r>
              <w:rPr>
                <w:rFonts w:eastAsia="Times New Roman"/>
                <w:color w:val="000000"/>
              </w:rPr>
              <w:t>країна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реєстрації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юридичної</w:t>
            </w:r>
            <w:proofErr w:type="spellEnd"/>
            <w:r>
              <w:rPr>
                <w:rFonts w:eastAsia="Times New Roman"/>
                <w:color w:val="000000"/>
              </w:rPr>
              <w:t xml:space="preserve"> особи та номер </w:t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св</w:t>
            </w:r>
            <w:proofErr w:type="gramEnd"/>
            <w:r>
              <w:rPr>
                <w:rFonts w:eastAsia="Times New Roman"/>
                <w:color w:val="000000"/>
              </w:rPr>
              <w:t>ідоцтва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включення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Реєстру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осіб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уповноважених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надавати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інформаційні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послуги</w:t>
            </w:r>
            <w:proofErr w:type="spellEnd"/>
            <w:r>
              <w:rPr>
                <w:rFonts w:eastAsia="Times New Roman"/>
                <w:color w:val="000000"/>
              </w:rPr>
              <w:t xml:space="preserve"> на фондовому рин</w:t>
            </w:r>
            <w:r>
              <w:rPr>
                <w:rFonts w:eastAsia="Times New Roman"/>
                <w:color w:val="000000"/>
              </w:rPr>
              <w:t xml:space="preserve">ку, особи, яка </w:t>
            </w:r>
            <w:proofErr w:type="spellStart"/>
            <w:r>
              <w:rPr>
                <w:rFonts w:eastAsia="Times New Roman"/>
                <w:color w:val="000000"/>
              </w:rPr>
              <w:t>здійснює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оприлюднення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регульованої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від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імені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учасника</w:t>
            </w:r>
            <w:proofErr w:type="spellEnd"/>
            <w:r>
              <w:rPr>
                <w:rFonts w:eastAsia="Times New Roman"/>
                <w:color w:val="000000"/>
              </w:rPr>
              <w:t xml:space="preserve"> фондового ринку.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Державна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установа</w:t>
            </w:r>
            <w:proofErr w:type="spellEnd"/>
            <w:r>
              <w:rPr>
                <w:rFonts w:eastAsia="Times New Roman"/>
                <w:color w:val="000000"/>
              </w:rPr>
              <w:t xml:space="preserve"> "Агентство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розвитку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iнфраструктури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>"</w:t>
            </w:r>
            <w:r>
              <w:rPr>
                <w:rFonts w:eastAsia="Times New Roman"/>
                <w:color w:val="000000"/>
              </w:rPr>
              <w:br/>
              <w:t>21676262</w:t>
            </w:r>
            <w:r>
              <w:rPr>
                <w:rFonts w:eastAsia="Times New Roman"/>
                <w:color w:val="000000"/>
              </w:rPr>
              <w:br/>
              <w:t xml:space="preserve">УКРАЇНА </w:t>
            </w:r>
            <w:r>
              <w:rPr>
                <w:rFonts w:eastAsia="Times New Roman"/>
                <w:color w:val="000000"/>
              </w:rPr>
              <w:br/>
              <w:t>DR/00001/APA</w:t>
            </w:r>
          </w:p>
        </w:tc>
      </w:tr>
    </w:tbl>
    <w:p w:rsidR="00000000" w:rsidRDefault="00D5286B">
      <w:pPr>
        <w:pStyle w:val="4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II. </w:t>
      </w:r>
      <w:proofErr w:type="spellStart"/>
      <w:proofErr w:type="gramStart"/>
      <w:r>
        <w:rPr>
          <w:rFonts w:eastAsia="Times New Roman"/>
          <w:color w:val="000000"/>
        </w:rPr>
        <w:t>Дан</w:t>
      </w:r>
      <w:proofErr w:type="gramEnd"/>
      <w:r>
        <w:rPr>
          <w:rFonts w:eastAsia="Times New Roman"/>
          <w:color w:val="000000"/>
        </w:rPr>
        <w:t>і</w:t>
      </w:r>
      <w:proofErr w:type="spellEnd"/>
      <w:r>
        <w:rPr>
          <w:rFonts w:eastAsia="Times New Roman"/>
          <w:color w:val="000000"/>
        </w:rPr>
        <w:t xml:space="preserve"> про дату та </w:t>
      </w:r>
      <w:proofErr w:type="spellStart"/>
      <w:r>
        <w:rPr>
          <w:rFonts w:eastAsia="Times New Roman"/>
          <w:color w:val="000000"/>
        </w:rPr>
        <w:t>місце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оприлюднення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(</w:t>
      </w:r>
      <w:proofErr w:type="spellStart"/>
      <w:r>
        <w:rPr>
          <w:rFonts w:eastAsia="Times New Roman"/>
          <w:color w:val="000000"/>
        </w:rPr>
        <w:t>Повідомлення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інформацію</w:t>
      </w:r>
      <w:proofErr w:type="spellEnd"/>
      <w:r>
        <w:rPr>
          <w:rFonts w:eastAsia="Times New Roman"/>
          <w:color w:val="000000"/>
        </w:rPr>
        <w:t>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45"/>
        <w:gridCol w:w="1900"/>
        <w:gridCol w:w="180"/>
        <w:gridCol w:w="1200"/>
      </w:tblGrid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Повідомлення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розміщено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власному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веб-сайті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учасника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фондового</w:t>
            </w:r>
            <w:proofErr w:type="gramEnd"/>
            <w:r>
              <w:rPr>
                <w:rFonts w:eastAsia="Times New Roman"/>
                <w:color w:val="000000"/>
              </w:rPr>
              <w:t xml:space="preserve"> ринку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http://infuzia.com/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15.04.2019</w:t>
            </w:r>
          </w:p>
        </w:tc>
      </w:tr>
      <w:tr w:rsidR="00000000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 xml:space="preserve">(адреса </w:t>
            </w:r>
            <w:proofErr w:type="spellStart"/>
            <w:r>
              <w:rPr>
                <w:rStyle w:val="small-text1"/>
                <w:rFonts w:eastAsia="Times New Roman"/>
                <w:color w:val="000000"/>
              </w:rPr>
              <w:t>сторінки</w:t>
            </w:r>
            <w:proofErr w:type="spellEnd"/>
            <w:r>
              <w:rPr>
                <w:rStyle w:val="small-text1"/>
                <w:rFonts w:eastAsia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Style w:val="small-text1"/>
                <w:rFonts w:eastAsia="Times New Roman"/>
                <w:color w:val="000000"/>
              </w:rPr>
              <w:t>(дата)</w:t>
            </w:r>
          </w:p>
        </w:tc>
      </w:tr>
    </w:tbl>
    <w:p w:rsidR="00000000" w:rsidRDefault="00D5286B">
      <w:pPr>
        <w:rPr>
          <w:rFonts w:eastAsia="Times New Roman"/>
          <w:color w:val="000000"/>
        </w:rPr>
        <w:sectPr w:rsidR="00000000" w:rsidSect="00042783">
          <w:pgSz w:w="11907" w:h="16840"/>
          <w:pgMar w:top="567" w:right="851" w:bottom="851" w:left="851" w:header="0" w:footer="0" w:gutter="0"/>
          <w:cols w:space="708"/>
          <w:docGrid w:linePitch="360"/>
        </w:sectPr>
      </w:pPr>
    </w:p>
    <w:p w:rsidR="00000000" w:rsidRDefault="00D5286B" w:rsidP="00D5286B">
      <w:pPr>
        <w:pStyle w:val="3"/>
        <w:spacing w:after="120"/>
        <w:rPr>
          <w:rFonts w:eastAsia="Times New Roman"/>
          <w:color w:val="000000"/>
        </w:rPr>
      </w:pPr>
      <w:proofErr w:type="spellStart"/>
      <w:r>
        <w:rPr>
          <w:rFonts w:eastAsia="Times New Roman"/>
          <w:color w:val="000000"/>
        </w:rPr>
        <w:lastRenderedPageBreak/>
        <w:t>Відомості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прийняття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proofErr w:type="gramStart"/>
      <w:r>
        <w:rPr>
          <w:rFonts w:eastAsia="Times New Roman"/>
          <w:color w:val="000000"/>
        </w:rPr>
        <w:t>р</w:t>
      </w:r>
      <w:proofErr w:type="gramEnd"/>
      <w:r>
        <w:rPr>
          <w:rFonts w:eastAsia="Times New Roman"/>
          <w:color w:val="000000"/>
        </w:rPr>
        <w:t>ішення</w:t>
      </w:r>
      <w:proofErr w:type="spellEnd"/>
      <w:r>
        <w:rPr>
          <w:rFonts w:eastAsia="Times New Roman"/>
          <w:color w:val="000000"/>
        </w:rPr>
        <w:t xml:space="preserve"> про </w:t>
      </w:r>
      <w:proofErr w:type="spellStart"/>
      <w:r>
        <w:rPr>
          <w:rFonts w:eastAsia="Times New Roman"/>
          <w:color w:val="000000"/>
        </w:rPr>
        <w:t>розміщення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цінних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паперів</w:t>
      </w:r>
      <w:proofErr w:type="spellEnd"/>
      <w:r>
        <w:rPr>
          <w:rFonts w:eastAsia="Times New Roman"/>
          <w:color w:val="000000"/>
        </w:rPr>
        <w:t xml:space="preserve"> на суму, </w:t>
      </w:r>
      <w:proofErr w:type="spellStart"/>
      <w:r>
        <w:rPr>
          <w:rFonts w:eastAsia="Times New Roman"/>
          <w:color w:val="000000"/>
        </w:rPr>
        <w:t>що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перевищує</w:t>
      </w:r>
      <w:proofErr w:type="spellEnd"/>
      <w:r>
        <w:rPr>
          <w:rFonts w:eastAsia="Times New Roman"/>
          <w:color w:val="000000"/>
        </w:rPr>
        <w:t xml:space="preserve"> 25 </w:t>
      </w:r>
      <w:proofErr w:type="spellStart"/>
      <w:r>
        <w:rPr>
          <w:rFonts w:eastAsia="Times New Roman"/>
          <w:color w:val="000000"/>
        </w:rPr>
        <w:t>відсотків</w:t>
      </w:r>
      <w:proofErr w:type="spellEnd"/>
      <w:r>
        <w:rPr>
          <w:rFonts w:eastAsia="Times New Roman"/>
          <w:color w:val="000000"/>
        </w:rPr>
        <w:t xml:space="preserve"> статутного </w:t>
      </w:r>
      <w:proofErr w:type="spellStart"/>
      <w:r>
        <w:rPr>
          <w:rFonts w:eastAsia="Times New Roman"/>
          <w:color w:val="000000"/>
        </w:rPr>
        <w:t>капіталу</w:t>
      </w:r>
      <w:proofErr w:type="spellEnd"/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0"/>
        <w:gridCol w:w="2845"/>
        <w:gridCol w:w="2845"/>
        <w:gridCol w:w="2845"/>
        <w:gridCol w:w="2845"/>
        <w:gridCol w:w="2845"/>
      </w:tblGrid>
      <w:tr w:rsidR="00000000">
        <w:trPr>
          <w:tblHeader/>
        </w:trPr>
        <w:tc>
          <w:tcPr>
            <w:tcW w:w="2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№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/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п</w:t>
            </w:r>
            <w:proofErr w:type="spellEnd"/>
            <w:proofErr w:type="gramEnd"/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Дата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прийняття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р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>ішення</w:t>
            </w:r>
            <w:proofErr w:type="spellEnd"/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Вид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що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розміщуються</w:t>
            </w:r>
            <w:proofErr w:type="spellEnd"/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Кількість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що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розміщуються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(шт.)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Сума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цінних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паперів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що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розміщуються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(тис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.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eastAsia="Times New Roman"/>
                <w:b/>
                <w:bCs/>
                <w:color w:val="000000"/>
              </w:rPr>
              <w:t>г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>рн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.)</w:t>
            </w:r>
          </w:p>
        </w:tc>
        <w:tc>
          <w:tcPr>
            <w:tcW w:w="9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Частка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від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статутного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капіталу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(у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відсотках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) </w:t>
            </w:r>
          </w:p>
        </w:tc>
      </w:tr>
      <w:tr w:rsidR="00000000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6</w:t>
            </w:r>
          </w:p>
        </w:tc>
      </w:tr>
      <w:tr w:rsidR="0000000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12.04.2019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proofErr w:type="spellStart"/>
            <w:r>
              <w:rPr>
                <w:rFonts w:eastAsia="Times New Roman"/>
                <w:color w:val="000000"/>
              </w:rPr>
              <w:t>Акція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проста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59000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5900000.00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100.00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rPr>
                <w:rFonts w:eastAsia="Times New Roman"/>
                <w:b/>
                <w:bCs/>
                <w:color w:val="000000"/>
              </w:rPr>
            </w:pP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Змі</w:t>
            </w:r>
            <w:proofErr w:type="gramStart"/>
            <w:r>
              <w:rPr>
                <w:rFonts w:eastAsia="Times New Roman"/>
                <w:b/>
                <w:bCs/>
                <w:color w:val="000000"/>
              </w:rPr>
              <w:t>ст</w:t>
            </w:r>
            <w:proofErr w:type="spellEnd"/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інформації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000000"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00000" w:rsidRDefault="00D5286B">
            <w:pPr>
              <w:ind w:firstLine="200"/>
              <w:rPr>
                <w:rFonts w:eastAsia="Times New Roman"/>
                <w:color w:val="000000"/>
              </w:rPr>
            </w:pPr>
            <w:proofErr w:type="spellStart"/>
            <w:proofErr w:type="gramStart"/>
            <w:r>
              <w:rPr>
                <w:rFonts w:eastAsia="Times New Roman"/>
                <w:color w:val="000000"/>
              </w:rPr>
              <w:t>Загальним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зборами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Приватного </w:t>
            </w:r>
            <w:proofErr w:type="spellStart"/>
            <w:r>
              <w:rPr>
                <w:rFonts w:eastAsia="Times New Roman"/>
                <w:color w:val="000000"/>
              </w:rPr>
              <w:t>акцiонерного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товариства</w:t>
            </w:r>
            <w:proofErr w:type="spellEnd"/>
            <w:r>
              <w:rPr>
                <w:rFonts w:eastAsia="Times New Roman"/>
                <w:color w:val="000000"/>
              </w:rPr>
              <w:t xml:space="preserve"> «IНФУЗIЯ» (</w:t>
            </w:r>
            <w:proofErr w:type="spellStart"/>
            <w:r>
              <w:rPr>
                <w:rFonts w:eastAsia="Times New Roman"/>
                <w:color w:val="000000"/>
              </w:rPr>
              <w:t>надалi</w:t>
            </w:r>
            <w:proofErr w:type="spellEnd"/>
            <w:r>
              <w:rPr>
                <w:rFonts w:eastAsia="Times New Roman"/>
                <w:color w:val="000000"/>
              </w:rPr>
              <w:t xml:space="preserve"> – </w:t>
            </w:r>
            <w:proofErr w:type="spellStart"/>
            <w:r>
              <w:rPr>
                <w:rFonts w:eastAsia="Times New Roman"/>
                <w:color w:val="000000"/>
              </w:rPr>
              <w:t>Емiтент</w:t>
            </w:r>
            <w:proofErr w:type="spellEnd"/>
            <w:r>
              <w:rPr>
                <w:rFonts w:eastAsia="Times New Roman"/>
                <w:color w:val="000000"/>
              </w:rPr>
              <w:t xml:space="preserve">) 12.04.2019 року (Протокол № 30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року) </w:t>
            </w:r>
            <w:proofErr w:type="spellStart"/>
            <w:r>
              <w:rPr>
                <w:rFonts w:eastAsia="Times New Roman"/>
                <w:color w:val="000000"/>
              </w:rPr>
              <w:t>прийнято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цiнних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на суму,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перевищує</w:t>
            </w:r>
            <w:proofErr w:type="spellEnd"/>
            <w:r>
              <w:rPr>
                <w:rFonts w:eastAsia="Times New Roman"/>
                <w:color w:val="000000"/>
              </w:rPr>
              <w:t xml:space="preserve"> 25 </w:t>
            </w:r>
            <w:proofErr w:type="spellStart"/>
            <w:r>
              <w:rPr>
                <w:rFonts w:eastAsia="Times New Roman"/>
                <w:color w:val="000000"/>
              </w:rPr>
              <w:t>вiдсоткiв</w:t>
            </w:r>
            <w:proofErr w:type="spellEnd"/>
            <w:r>
              <w:rPr>
                <w:rFonts w:eastAsia="Times New Roman"/>
                <w:color w:val="000000"/>
              </w:rPr>
              <w:t xml:space="preserve"> статутного </w:t>
            </w:r>
            <w:proofErr w:type="spellStart"/>
            <w:r>
              <w:rPr>
                <w:rFonts w:eastAsia="Times New Roman"/>
                <w:color w:val="000000"/>
              </w:rPr>
              <w:t>капiталу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,</w:t>
            </w:r>
            <w:r>
              <w:rPr>
                <w:rFonts w:eastAsia="Times New Roman"/>
                <w:color w:val="000000"/>
              </w:rPr>
              <w:t xml:space="preserve"> а </w:t>
            </w:r>
            <w:proofErr w:type="spellStart"/>
            <w:r>
              <w:rPr>
                <w:rFonts w:eastAsia="Times New Roman"/>
                <w:color w:val="000000"/>
              </w:rPr>
              <w:t>саме</w:t>
            </w:r>
            <w:proofErr w:type="spellEnd"/>
            <w:r>
              <w:rPr>
                <w:rFonts w:eastAsia="Times New Roman"/>
                <w:color w:val="000000"/>
              </w:rPr>
              <w:t xml:space="preserve">: про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простих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iменних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кiлькостi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59000 штук, </w:t>
            </w:r>
            <w:proofErr w:type="spellStart"/>
            <w:r>
              <w:rPr>
                <w:rFonts w:eastAsia="Times New Roman"/>
                <w:color w:val="000000"/>
              </w:rPr>
              <w:t>iснуючої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номiнальної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100,00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r>
              <w:rPr>
                <w:rFonts w:eastAsia="Times New Roman"/>
                <w:color w:val="000000"/>
              </w:rPr>
              <w:t xml:space="preserve"> за одну </w:t>
            </w:r>
            <w:proofErr w:type="spellStart"/>
            <w:r>
              <w:rPr>
                <w:rFonts w:eastAsia="Times New Roman"/>
                <w:color w:val="000000"/>
              </w:rPr>
              <w:t>акцiю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загальною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номiнальною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вартiстю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сумi</w:t>
            </w:r>
            <w:proofErr w:type="spellEnd"/>
            <w:r>
              <w:rPr>
                <w:rFonts w:eastAsia="Times New Roman"/>
                <w:color w:val="000000"/>
              </w:rPr>
              <w:t xml:space="preserve"> 5 900 000,00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спос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б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– </w:t>
            </w:r>
            <w:proofErr w:type="spellStart"/>
            <w:r>
              <w:rPr>
                <w:rFonts w:eastAsia="Times New Roman"/>
                <w:color w:val="000000"/>
              </w:rPr>
              <w:t>приватне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. </w:t>
            </w:r>
            <w:proofErr w:type="spellStart"/>
            <w:r>
              <w:rPr>
                <w:rFonts w:eastAsia="Times New Roman"/>
                <w:color w:val="000000"/>
              </w:rPr>
              <w:t>Розм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б</w:t>
            </w:r>
            <w:r>
              <w:rPr>
                <w:rFonts w:eastAsia="Times New Roman"/>
                <w:color w:val="000000"/>
              </w:rPr>
              <w:t xml:space="preserve">уде </w:t>
            </w:r>
            <w:proofErr w:type="spellStart"/>
            <w:r>
              <w:rPr>
                <w:rFonts w:eastAsia="Times New Roman"/>
                <w:color w:val="000000"/>
              </w:rPr>
              <w:t>здiйснюватись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самостiйно</w:t>
            </w:r>
            <w:proofErr w:type="spellEnd"/>
            <w:r>
              <w:rPr>
                <w:rFonts w:eastAsia="Times New Roman"/>
                <w:color w:val="000000"/>
              </w:rPr>
              <w:t xml:space="preserve">, без </w:t>
            </w:r>
            <w:proofErr w:type="spellStart"/>
            <w:r>
              <w:rPr>
                <w:rFonts w:eastAsia="Times New Roman"/>
                <w:color w:val="000000"/>
              </w:rPr>
              <w:t>залучення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андеррайтера. </w:t>
            </w:r>
            <w:proofErr w:type="spellStart"/>
            <w:r>
              <w:rPr>
                <w:rFonts w:eastAsia="Times New Roman"/>
                <w:color w:val="000000"/>
              </w:rPr>
              <w:t>Збiльшення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gramStart"/>
            <w:r>
              <w:rPr>
                <w:rFonts w:eastAsia="Times New Roman"/>
                <w:color w:val="000000"/>
              </w:rPr>
              <w:t>статутного</w:t>
            </w:r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капiталу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шляхом </w:t>
            </w:r>
            <w:proofErr w:type="spellStart"/>
            <w:r>
              <w:rPr>
                <w:rFonts w:eastAsia="Times New Roman"/>
                <w:color w:val="000000"/>
              </w:rPr>
              <w:t>додаткового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випуску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планується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 на 5 900 000,00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r>
              <w:rPr>
                <w:rFonts w:eastAsia="Times New Roman"/>
                <w:color w:val="000000"/>
              </w:rPr>
              <w:t xml:space="preserve">: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5 900 000,00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r>
              <w:rPr>
                <w:rFonts w:eastAsia="Times New Roman"/>
                <w:color w:val="000000"/>
              </w:rPr>
              <w:t xml:space="preserve"> до 11 800 000,00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Ном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нальна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однiєї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акцiї</w:t>
            </w:r>
            <w:proofErr w:type="spellEnd"/>
            <w:r>
              <w:rPr>
                <w:rFonts w:eastAsia="Times New Roman"/>
                <w:color w:val="000000"/>
              </w:rPr>
              <w:t xml:space="preserve"> становить</w:t>
            </w:r>
            <w:r>
              <w:rPr>
                <w:rFonts w:eastAsia="Times New Roman"/>
                <w:color w:val="000000"/>
              </w:rPr>
              <w:t xml:space="preserve"> 100,00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цiна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становить 100,00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r>
              <w:rPr>
                <w:rFonts w:eastAsia="Times New Roman"/>
                <w:color w:val="000000"/>
              </w:rPr>
              <w:t xml:space="preserve"> за одну </w:t>
            </w:r>
            <w:proofErr w:type="spellStart"/>
            <w:r>
              <w:rPr>
                <w:rFonts w:eastAsia="Times New Roman"/>
                <w:color w:val="000000"/>
              </w:rPr>
              <w:t>акцiю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урахуванням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ринкової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Розм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може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призвести</w:t>
            </w:r>
            <w:proofErr w:type="spellEnd"/>
            <w:r>
              <w:rPr>
                <w:rFonts w:eastAsia="Times New Roman"/>
                <w:color w:val="000000"/>
              </w:rPr>
              <w:t xml:space="preserve"> до </w:t>
            </w:r>
            <w:proofErr w:type="spellStart"/>
            <w:r>
              <w:rPr>
                <w:rFonts w:eastAsia="Times New Roman"/>
                <w:color w:val="000000"/>
              </w:rPr>
              <w:t>змiни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власника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значного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пакета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. Станом на дату </w:t>
            </w:r>
            <w:proofErr w:type="spellStart"/>
            <w:r>
              <w:rPr>
                <w:rFonts w:eastAsia="Times New Roman"/>
                <w:color w:val="000000"/>
              </w:rPr>
              <w:t>прийняття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12</w:t>
            </w:r>
            <w:r>
              <w:rPr>
                <w:rFonts w:eastAsia="Times New Roman"/>
                <w:color w:val="000000"/>
              </w:rPr>
              <w:t xml:space="preserve">.04.2019 року </w:t>
            </w:r>
            <w:proofErr w:type="spellStart"/>
            <w:r>
              <w:rPr>
                <w:rFonts w:eastAsia="Times New Roman"/>
                <w:color w:val="000000"/>
              </w:rPr>
              <w:t>власником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значного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пакету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Лимар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Володимир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Iванович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який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володiє</w:t>
            </w:r>
            <w:proofErr w:type="spellEnd"/>
            <w:r>
              <w:rPr>
                <w:rFonts w:eastAsia="Times New Roman"/>
                <w:color w:val="000000"/>
              </w:rPr>
              <w:t xml:space="preserve"> 57204 шт. </w:t>
            </w:r>
            <w:proofErr w:type="spellStart"/>
            <w:r>
              <w:rPr>
                <w:rFonts w:eastAsia="Times New Roman"/>
                <w:color w:val="000000"/>
              </w:rPr>
              <w:t>простих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iменних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становить 96,9559 % </w:t>
            </w:r>
            <w:proofErr w:type="gramStart"/>
            <w:r>
              <w:rPr>
                <w:rFonts w:eastAsia="Times New Roman"/>
                <w:color w:val="000000"/>
              </w:rPr>
              <w:t>статутного</w:t>
            </w:r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капiталу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  <w:t xml:space="preserve">Станом на 12.04.2019 року </w:t>
            </w:r>
            <w:proofErr w:type="spellStart"/>
            <w:r>
              <w:rPr>
                <w:rFonts w:eastAsia="Times New Roman"/>
                <w:color w:val="000000"/>
              </w:rPr>
              <w:t>статутний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кап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тал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становить 5 </w:t>
            </w:r>
            <w:r>
              <w:rPr>
                <w:rFonts w:eastAsia="Times New Roman"/>
                <w:color w:val="000000"/>
              </w:rPr>
              <w:t xml:space="preserve">900 000,00 </w:t>
            </w:r>
            <w:proofErr w:type="spellStart"/>
            <w:r>
              <w:rPr>
                <w:rFonts w:eastAsia="Times New Roman"/>
                <w:color w:val="000000"/>
              </w:rPr>
              <w:t>грн</w:t>
            </w:r>
            <w:proofErr w:type="spellEnd"/>
            <w:r>
              <w:rPr>
                <w:rFonts w:eastAsia="Times New Roman"/>
                <w:color w:val="000000"/>
              </w:rPr>
              <w:t xml:space="preserve">. 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proofErr w:type="gramStart"/>
            <w:r>
              <w:rPr>
                <w:rFonts w:eastAsia="Times New Roman"/>
                <w:color w:val="000000"/>
              </w:rPr>
              <w:t>Спiввiдношення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загальної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номiнальної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цiнних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паперiв</w:t>
            </w:r>
            <w:proofErr w:type="spellEnd"/>
            <w:r>
              <w:rPr>
                <w:rFonts w:eastAsia="Times New Roman"/>
                <w:color w:val="000000"/>
              </w:rPr>
              <w:t xml:space="preserve">, на яку вони </w:t>
            </w:r>
            <w:proofErr w:type="spellStart"/>
            <w:r>
              <w:rPr>
                <w:rFonts w:eastAsia="Times New Roman"/>
                <w:color w:val="000000"/>
              </w:rPr>
              <w:t>розмiщуються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, до </w:t>
            </w:r>
            <w:proofErr w:type="spellStart"/>
            <w:r>
              <w:rPr>
                <w:rFonts w:eastAsia="Times New Roman"/>
                <w:color w:val="000000"/>
              </w:rPr>
              <w:t>розмiру</w:t>
            </w:r>
            <w:proofErr w:type="spellEnd"/>
            <w:r>
              <w:rPr>
                <w:rFonts w:eastAsia="Times New Roman"/>
                <w:color w:val="000000"/>
              </w:rPr>
              <w:t xml:space="preserve"> статутного </w:t>
            </w:r>
            <w:proofErr w:type="spellStart"/>
            <w:r>
              <w:rPr>
                <w:rFonts w:eastAsia="Times New Roman"/>
                <w:color w:val="000000"/>
              </w:rPr>
              <w:t>капiталу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на дату </w:t>
            </w:r>
            <w:proofErr w:type="spellStart"/>
            <w:r>
              <w:rPr>
                <w:rFonts w:eastAsia="Times New Roman"/>
                <w:color w:val="000000"/>
              </w:rPr>
              <w:t>прийняття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12.04.2019 </w:t>
            </w:r>
            <w:proofErr w:type="spellStart"/>
            <w:r>
              <w:rPr>
                <w:rFonts w:eastAsia="Times New Roman"/>
                <w:color w:val="000000"/>
              </w:rPr>
              <w:t>складає</w:t>
            </w:r>
            <w:proofErr w:type="spellEnd"/>
            <w:r>
              <w:rPr>
                <w:rFonts w:eastAsia="Times New Roman"/>
                <w:color w:val="000000"/>
              </w:rPr>
              <w:t xml:space="preserve"> 100 %. 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Спiввiдношення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загальної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номiнальної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вартостi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цiнних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знаходяться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обiгу</w:t>
            </w:r>
            <w:proofErr w:type="spellEnd"/>
            <w:r>
              <w:rPr>
                <w:rFonts w:eastAsia="Times New Roman"/>
                <w:color w:val="000000"/>
              </w:rPr>
              <w:t xml:space="preserve">, до </w:t>
            </w:r>
            <w:proofErr w:type="spellStart"/>
            <w:r>
              <w:rPr>
                <w:rFonts w:eastAsia="Times New Roman"/>
                <w:color w:val="000000"/>
              </w:rPr>
              <w:t>розмiру</w:t>
            </w:r>
            <w:proofErr w:type="spellEnd"/>
            <w:r>
              <w:rPr>
                <w:rFonts w:eastAsia="Times New Roman"/>
                <w:color w:val="000000"/>
              </w:rPr>
              <w:t xml:space="preserve"> статутного </w:t>
            </w:r>
            <w:proofErr w:type="spellStart"/>
            <w:r>
              <w:rPr>
                <w:rFonts w:eastAsia="Times New Roman"/>
                <w:color w:val="000000"/>
              </w:rPr>
              <w:t>капiталу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на дату </w:t>
            </w:r>
            <w:proofErr w:type="spellStart"/>
            <w:r>
              <w:rPr>
                <w:rFonts w:eastAsia="Times New Roman"/>
                <w:color w:val="000000"/>
              </w:rPr>
              <w:t>прийняття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цього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рiшення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складає</w:t>
            </w:r>
            <w:proofErr w:type="spellEnd"/>
            <w:r>
              <w:rPr>
                <w:rFonts w:eastAsia="Times New Roman"/>
                <w:color w:val="000000"/>
              </w:rPr>
              <w:t xml:space="preserve"> 100 %.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Iнвестори</w:t>
            </w:r>
            <w:proofErr w:type="spellEnd"/>
            <w:r>
              <w:rPr>
                <w:rFonts w:eastAsia="Times New Roman"/>
                <w:color w:val="000000"/>
              </w:rPr>
              <w:t xml:space="preserve"> в </w:t>
            </w:r>
            <w:proofErr w:type="spellStart"/>
            <w:r>
              <w:rPr>
                <w:rFonts w:eastAsia="Times New Roman"/>
                <w:color w:val="000000"/>
              </w:rPr>
              <w:t>цiннi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папери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розмiщуються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отримують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однакову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сукупнiсть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прав, </w:t>
            </w:r>
            <w:proofErr w:type="spellStart"/>
            <w:r>
              <w:rPr>
                <w:rFonts w:eastAsia="Times New Roman"/>
                <w:color w:val="000000"/>
              </w:rPr>
              <w:t>включаючи</w:t>
            </w:r>
            <w:proofErr w:type="spellEnd"/>
            <w:r>
              <w:rPr>
                <w:rFonts w:eastAsia="Times New Roman"/>
                <w:color w:val="000000"/>
              </w:rPr>
              <w:t xml:space="preserve"> право</w:t>
            </w:r>
            <w:proofErr w:type="gramEnd"/>
            <w:r>
              <w:rPr>
                <w:rFonts w:eastAsia="Times New Roman"/>
                <w:color w:val="000000"/>
              </w:rPr>
              <w:t xml:space="preserve"> на участь в </w:t>
            </w:r>
            <w:proofErr w:type="spellStart"/>
            <w:r>
              <w:rPr>
                <w:rFonts w:eastAsia="Times New Roman"/>
                <w:color w:val="000000"/>
              </w:rPr>
              <w:t>упр</w:t>
            </w:r>
            <w:r>
              <w:rPr>
                <w:rFonts w:eastAsia="Times New Roman"/>
                <w:color w:val="000000"/>
              </w:rPr>
              <w:t>авл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ннi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Товариством</w:t>
            </w:r>
            <w:proofErr w:type="spellEnd"/>
            <w:r>
              <w:rPr>
                <w:rFonts w:eastAsia="Times New Roman"/>
                <w:color w:val="000000"/>
              </w:rPr>
              <w:t xml:space="preserve">; </w:t>
            </w:r>
            <w:proofErr w:type="spell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дивiдендiв</w:t>
            </w:r>
            <w:proofErr w:type="spellEnd"/>
            <w:r>
              <w:rPr>
                <w:rFonts w:eastAsia="Times New Roman"/>
                <w:color w:val="000000"/>
              </w:rPr>
              <w:t xml:space="preserve">; </w:t>
            </w:r>
            <w:proofErr w:type="spell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у </w:t>
            </w:r>
            <w:proofErr w:type="spellStart"/>
            <w:r>
              <w:rPr>
                <w:rFonts w:eastAsia="Times New Roman"/>
                <w:color w:val="000000"/>
              </w:rPr>
              <w:t>разi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лiквiдацiї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частини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його</w:t>
            </w:r>
            <w:proofErr w:type="spellEnd"/>
            <w:r>
              <w:rPr>
                <w:rFonts w:eastAsia="Times New Roman"/>
                <w:color w:val="000000"/>
              </w:rPr>
              <w:t xml:space="preserve"> майна </w:t>
            </w:r>
            <w:proofErr w:type="spellStart"/>
            <w:r>
              <w:rPr>
                <w:rFonts w:eastAsia="Times New Roman"/>
                <w:color w:val="000000"/>
              </w:rPr>
              <w:t>або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вартостi</w:t>
            </w:r>
            <w:proofErr w:type="spellEnd"/>
            <w:r>
              <w:rPr>
                <w:rFonts w:eastAsia="Times New Roman"/>
                <w:color w:val="000000"/>
              </w:rPr>
              <w:t xml:space="preserve">; </w:t>
            </w:r>
            <w:proofErr w:type="spellStart"/>
            <w:r>
              <w:rPr>
                <w:rFonts w:eastAsia="Times New Roman"/>
                <w:color w:val="000000"/>
              </w:rPr>
              <w:t>отримання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iнформацiї</w:t>
            </w:r>
            <w:proofErr w:type="spellEnd"/>
            <w:r>
              <w:rPr>
                <w:rFonts w:eastAsia="Times New Roman"/>
                <w:color w:val="000000"/>
              </w:rPr>
              <w:t xml:space="preserve"> про </w:t>
            </w:r>
            <w:proofErr w:type="spellStart"/>
            <w:r>
              <w:rPr>
                <w:rFonts w:eastAsia="Times New Roman"/>
                <w:color w:val="000000"/>
              </w:rPr>
              <w:t>господарську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дiяльнiсть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 у порядку, </w:t>
            </w:r>
            <w:proofErr w:type="spellStart"/>
            <w:r>
              <w:rPr>
                <w:rFonts w:eastAsia="Times New Roman"/>
                <w:color w:val="000000"/>
              </w:rPr>
              <w:t>визначеному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законодавством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України</w:t>
            </w:r>
            <w:proofErr w:type="spellEnd"/>
            <w:r>
              <w:rPr>
                <w:rFonts w:eastAsia="Times New Roman"/>
                <w:color w:val="000000"/>
              </w:rPr>
              <w:t xml:space="preserve">; </w:t>
            </w:r>
            <w:proofErr w:type="spellStart"/>
            <w:r>
              <w:rPr>
                <w:rFonts w:eastAsia="Times New Roman"/>
                <w:color w:val="000000"/>
              </w:rPr>
              <w:t>також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iншi</w:t>
            </w:r>
            <w:proofErr w:type="spellEnd"/>
            <w:r>
              <w:rPr>
                <w:rFonts w:eastAsia="Times New Roman"/>
                <w:color w:val="000000"/>
              </w:rPr>
              <w:t xml:space="preserve"> права, </w:t>
            </w:r>
            <w:proofErr w:type="spellStart"/>
            <w:r>
              <w:rPr>
                <w:rFonts w:eastAsia="Times New Roman"/>
                <w:color w:val="000000"/>
              </w:rPr>
              <w:t>передбаченi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чинним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</w:t>
            </w:r>
            <w:r>
              <w:rPr>
                <w:rFonts w:eastAsia="Times New Roman"/>
                <w:color w:val="000000"/>
              </w:rPr>
              <w:t>аконодавством</w:t>
            </w:r>
            <w:proofErr w:type="spellEnd"/>
            <w:r>
              <w:rPr>
                <w:rFonts w:eastAsia="Times New Roman"/>
                <w:color w:val="000000"/>
              </w:rPr>
              <w:t xml:space="preserve">, Статутом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рiшеннями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Загальних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зборiв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акцiонерiв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  <w:t xml:space="preserve">Оплата </w:t>
            </w:r>
            <w:proofErr w:type="spellStart"/>
            <w:r>
              <w:rPr>
                <w:rFonts w:eastAsia="Times New Roman"/>
                <w:color w:val="000000"/>
              </w:rPr>
              <w:t>акц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здiйснюється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грошовими</w:t>
            </w:r>
            <w:proofErr w:type="spellEnd"/>
            <w:r>
              <w:rPr>
                <w:rFonts w:eastAsia="Times New Roman"/>
                <w:color w:val="000000"/>
              </w:rPr>
              <w:t xml:space="preserve"> коштами у </w:t>
            </w:r>
            <w:proofErr w:type="spellStart"/>
            <w:r>
              <w:rPr>
                <w:rFonts w:eastAsia="Times New Roman"/>
                <w:color w:val="000000"/>
              </w:rPr>
              <w:t>безготiвковiй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формi</w:t>
            </w:r>
            <w:proofErr w:type="spellEnd"/>
            <w:r>
              <w:rPr>
                <w:rFonts w:eastAsia="Times New Roman"/>
                <w:color w:val="000000"/>
              </w:rPr>
              <w:t xml:space="preserve"> шляхом </w:t>
            </w:r>
            <w:proofErr w:type="spellStart"/>
            <w:r>
              <w:rPr>
                <w:rFonts w:eastAsia="Times New Roman"/>
                <w:color w:val="000000"/>
              </w:rPr>
              <w:t>їх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перерахування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банкiвський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рахунок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. За </w:t>
            </w:r>
            <w:proofErr w:type="spellStart"/>
            <w:r>
              <w:rPr>
                <w:rFonts w:eastAsia="Times New Roman"/>
                <w:color w:val="000000"/>
              </w:rPr>
              <w:t>домовлен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стю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мiж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Емiтентом</w:t>
            </w:r>
            <w:proofErr w:type="spellEnd"/>
            <w:r>
              <w:rPr>
                <w:rFonts w:eastAsia="Times New Roman"/>
                <w:color w:val="000000"/>
              </w:rPr>
              <w:t xml:space="preserve"> та </w:t>
            </w:r>
            <w:proofErr w:type="spellStart"/>
            <w:r>
              <w:rPr>
                <w:rFonts w:eastAsia="Times New Roman"/>
                <w:color w:val="000000"/>
              </w:rPr>
              <w:t>учасником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оплата</w:t>
            </w:r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розмiщуються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може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здiйснюватися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також</w:t>
            </w:r>
            <w:proofErr w:type="spellEnd"/>
            <w:r>
              <w:rPr>
                <w:rFonts w:eastAsia="Times New Roman"/>
                <w:color w:val="000000"/>
              </w:rPr>
              <w:t xml:space="preserve"> шляхом </w:t>
            </w:r>
            <w:proofErr w:type="spellStart"/>
            <w:r>
              <w:rPr>
                <w:rFonts w:eastAsia="Times New Roman"/>
                <w:color w:val="000000"/>
              </w:rPr>
              <w:t>зарахування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зустрiчних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однорiдних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вимог</w:t>
            </w:r>
            <w:proofErr w:type="spellEnd"/>
            <w:r>
              <w:rPr>
                <w:rFonts w:eastAsia="Times New Roman"/>
                <w:color w:val="000000"/>
              </w:rPr>
              <w:t xml:space="preserve"> за </w:t>
            </w:r>
            <w:proofErr w:type="spellStart"/>
            <w:r>
              <w:rPr>
                <w:rFonts w:eastAsia="Times New Roman"/>
                <w:color w:val="000000"/>
              </w:rPr>
              <w:t>грошовими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зобов'язаннями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  <w:t xml:space="preserve">Метою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є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збiльшення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розмiру</w:t>
            </w:r>
            <w:proofErr w:type="spellEnd"/>
            <w:r>
              <w:rPr>
                <w:rFonts w:eastAsia="Times New Roman"/>
                <w:color w:val="000000"/>
              </w:rPr>
              <w:t xml:space="preserve"> статутного </w:t>
            </w:r>
            <w:proofErr w:type="spellStart"/>
            <w:r>
              <w:rPr>
                <w:rFonts w:eastAsia="Times New Roman"/>
                <w:color w:val="000000"/>
              </w:rPr>
              <w:t>капiталу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фiнансовi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ресурси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якi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планується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залучити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вiд</w:t>
            </w:r>
            <w:proofErr w:type="spellEnd"/>
            <w:r>
              <w:rPr>
                <w:rFonts w:eastAsia="Times New Roman"/>
                <w:color w:val="000000"/>
              </w:rPr>
              <w:t xml:space="preserve"> приватног</w:t>
            </w:r>
            <w:r>
              <w:rPr>
                <w:rFonts w:eastAsia="Times New Roman"/>
                <w:color w:val="000000"/>
              </w:rPr>
              <w:t xml:space="preserve">о </w:t>
            </w:r>
            <w:proofErr w:type="spellStart"/>
            <w:r>
              <w:rPr>
                <w:rFonts w:eastAsia="Times New Roman"/>
                <w:color w:val="000000"/>
              </w:rPr>
              <w:lastRenderedPageBreak/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gramStart"/>
            <w:r>
              <w:rPr>
                <w:rFonts w:eastAsia="Times New Roman"/>
                <w:color w:val="000000"/>
              </w:rPr>
              <w:t>,в</w:t>
            </w:r>
            <w:proofErr w:type="spellEnd"/>
            <w:proofErr w:type="gram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повному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обсязi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будуть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спрямованi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Емiтентом</w:t>
            </w:r>
            <w:proofErr w:type="spellEnd"/>
            <w:r>
              <w:rPr>
                <w:rFonts w:eastAsia="Times New Roman"/>
                <w:color w:val="000000"/>
              </w:rPr>
              <w:t xml:space="preserve"> на </w:t>
            </w:r>
            <w:proofErr w:type="spellStart"/>
            <w:r>
              <w:rPr>
                <w:rFonts w:eastAsia="Times New Roman"/>
                <w:color w:val="000000"/>
              </w:rPr>
              <w:t>поповнення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обiгових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коштiв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Можлив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сть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конвертацiї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розмiщуються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, не </w:t>
            </w:r>
            <w:proofErr w:type="spellStart"/>
            <w:r>
              <w:rPr>
                <w:rFonts w:eastAsia="Times New Roman"/>
                <w:color w:val="000000"/>
              </w:rPr>
              <w:t>передбачена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  <w:r>
              <w:rPr>
                <w:rFonts w:eastAsia="Times New Roman"/>
                <w:color w:val="000000"/>
              </w:rPr>
              <w:br/>
            </w:r>
            <w:proofErr w:type="spellStart"/>
            <w:r>
              <w:rPr>
                <w:rFonts w:eastAsia="Times New Roman"/>
                <w:color w:val="000000"/>
              </w:rPr>
              <w:t>Кошти</w:t>
            </w:r>
            <w:proofErr w:type="spellEnd"/>
            <w:r>
              <w:rPr>
                <w:rFonts w:eastAsia="Times New Roman"/>
                <w:color w:val="000000"/>
              </w:rPr>
              <w:t xml:space="preserve">, </w:t>
            </w:r>
            <w:proofErr w:type="spellStart"/>
            <w:r>
              <w:rPr>
                <w:rFonts w:eastAsia="Times New Roman"/>
                <w:color w:val="000000"/>
              </w:rPr>
              <w:t>що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залучаються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</w:t>
            </w:r>
            <w:proofErr w:type="gramStart"/>
            <w:r>
              <w:rPr>
                <w:rFonts w:eastAsia="Times New Roman"/>
                <w:color w:val="000000"/>
              </w:rPr>
              <w:t>i</w:t>
            </w:r>
            <w:proofErr w:type="gramEnd"/>
            <w:r>
              <w:rPr>
                <w:rFonts w:eastAsia="Times New Roman"/>
                <w:color w:val="000000"/>
              </w:rPr>
              <w:t>д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розмiщення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акцiй</w:t>
            </w:r>
            <w:proofErr w:type="spellEnd"/>
            <w:r>
              <w:rPr>
                <w:rFonts w:eastAsia="Times New Roman"/>
                <w:color w:val="000000"/>
              </w:rPr>
              <w:t xml:space="preserve"> не </w:t>
            </w:r>
            <w:proofErr w:type="spellStart"/>
            <w:r>
              <w:rPr>
                <w:rFonts w:eastAsia="Times New Roman"/>
                <w:color w:val="000000"/>
              </w:rPr>
              <w:t>будуть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використанi</w:t>
            </w:r>
            <w:proofErr w:type="spellEnd"/>
            <w:r>
              <w:rPr>
                <w:rFonts w:eastAsia="Times New Roman"/>
                <w:color w:val="000000"/>
              </w:rPr>
              <w:t xml:space="preserve"> для </w:t>
            </w:r>
            <w:proofErr w:type="spellStart"/>
            <w:r>
              <w:rPr>
                <w:rFonts w:eastAsia="Times New Roman"/>
                <w:color w:val="000000"/>
              </w:rPr>
              <w:t>покриття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збиткiв</w:t>
            </w:r>
            <w:proofErr w:type="spellEnd"/>
            <w:r>
              <w:rPr>
                <w:rFonts w:eastAsia="Times New Roman"/>
                <w:color w:val="000000"/>
              </w:rPr>
              <w:t xml:space="preserve"> </w:t>
            </w:r>
            <w:proofErr w:type="spellStart"/>
            <w:r>
              <w:rPr>
                <w:rFonts w:eastAsia="Times New Roman"/>
                <w:color w:val="000000"/>
              </w:rPr>
              <w:t>Емiтента</w:t>
            </w:r>
            <w:proofErr w:type="spellEnd"/>
            <w:r>
              <w:rPr>
                <w:rFonts w:eastAsia="Times New Roman"/>
                <w:color w:val="000000"/>
              </w:rPr>
              <w:t>.</w:t>
            </w:r>
          </w:p>
        </w:tc>
      </w:tr>
    </w:tbl>
    <w:p w:rsidR="00000000" w:rsidRPr="00D5286B" w:rsidRDefault="00D5286B">
      <w:pPr>
        <w:rPr>
          <w:rFonts w:eastAsia="Times New Roman"/>
          <w:sz w:val="2"/>
          <w:szCs w:val="2"/>
        </w:rPr>
      </w:pPr>
    </w:p>
    <w:sectPr w:rsidR="00000000" w:rsidRPr="00D5286B" w:rsidSect="00D5286B">
      <w:pgSz w:w="16840" w:h="11907" w:orient="landscape"/>
      <w:pgMar w:top="709" w:right="1134" w:bottom="426" w:left="85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noPunctuationKerning/>
  <w:characterSpacingControl w:val="doNotCompress"/>
  <w:compat/>
  <w:rsids>
    <w:rsidRoot w:val="00042783"/>
    <w:rsid w:val="00042783"/>
    <w:rsid w:val="00D528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after="300"/>
      <w:jc w:val="center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qFormat/>
    <w:pPr>
      <w:spacing w:after="225"/>
      <w:jc w:val="center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customStyle="1" w:styleId="justify">
    <w:name w:val="justify"/>
    <w:basedOn w:val="a"/>
    <w:pPr>
      <w:spacing w:before="100" w:beforeAutospacing="1" w:after="100" w:afterAutospacing="1"/>
      <w:jc w:val="both"/>
    </w:pPr>
  </w:style>
  <w:style w:type="paragraph" w:customStyle="1" w:styleId="zmist">
    <w:name w:val="zmist"/>
    <w:basedOn w:val="a"/>
    <w:pPr>
      <w:spacing w:before="100" w:beforeAutospacing="1" w:after="100" w:afterAutospacing="1"/>
      <w:ind w:firstLine="200"/>
    </w:pPr>
  </w:style>
  <w:style w:type="paragraph" w:customStyle="1" w:styleId="left">
    <w:name w:val="left"/>
    <w:basedOn w:val="a"/>
    <w:pPr>
      <w:spacing w:before="100" w:beforeAutospacing="1" w:after="100" w:afterAutospacing="1"/>
    </w:pPr>
  </w:style>
  <w:style w:type="paragraph" w:customStyle="1" w:styleId="right">
    <w:name w:val="right"/>
    <w:basedOn w:val="a"/>
    <w:pPr>
      <w:spacing w:before="100" w:beforeAutospacing="1" w:after="100" w:afterAutospacing="1"/>
      <w:jc w:val="right"/>
    </w:pPr>
  </w:style>
  <w:style w:type="paragraph" w:customStyle="1" w:styleId="center">
    <w:name w:val="center"/>
    <w:basedOn w:val="a"/>
    <w:pPr>
      <w:spacing w:before="100" w:beforeAutospacing="1" w:after="100" w:afterAutospacing="1"/>
      <w:jc w:val="center"/>
    </w:pPr>
  </w:style>
  <w:style w:type="paragraph" w:customStyle="1" w:styleId="bold">
    <w:name w:val="bold"/>
    <w:basedOn w:val="a"/>
    <w:pPr>
      <w:spacing w:before="100" w:beforeAutospacing="1" w:after="100" w:afterAutospacing="1"/>
    </w:pPr>
    <w:rPr>
      <w:b/>
      <w:bCs/>
    </w:rPr>
  </w:style>
  <w:style w:type="paragraph" w:customStyle="1" w:styleId="brdnone">
    <w:name w:val="brdnone"/>
    <w:basedOn w:val="a"/>
    <w:pPr>
      <w:spacing w:before="100" w:beforeAutospacing="1" w:after="100" w:afterAutospacing="1"/>
    </w:pPr>
  </w:style>
  <w:style w:type="paragraph" w:customStyle="1" w:styleId="brdbtm">
    <w:name w:val="brdbtm"/>
    <w:basedOn w:val="a"/>
    <w:pPr>
      <w:pBdr>
        <w:bottom w:val="single" w:sz="6" w:space="0" w:color="000000"/>
      </w:pBdr>
      <w:spacing w:before="100" w:beforeAutospacing="1" w:after="100" w:afterAutospacing="1"/>
    </w:pPr>
  </w:style>
  <w:style w:type="paragraph" w:customStyle="1" w:styleId="brdtop">
    <w:name w:val="brdtop"/>
    <w:basedOn w:val="a"/>
    <w:pPr>
      <w:pBdr>
        <w:top w:val="single" w:sz="6" w:space="0" w:color="000000"/>
      </w:pBdr>
      <w:spacing w:before="100" w:beforeAutospacing="1" w:after="100" w:afterAutospacing="1"/>
    </w:pPr>
  </w:style>
  <w:style w:type="paragraph" w:customStyle="1" w:styleId="brdall">
    <w:name w:val="brdall"/>
    <w:basedOn w:val="a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</w:style>
  <w:style w:type="paragraph" w:customStyle="1" w:styleId="small-text">
    <w:name w:val="small-text"/>
    <w:basedOn w:val="a"/>
    <w:pPr>
      <w:spacing w:before="100" w:beforeAutospacing="1" w:after="100" w:afterAutospacing="1"/>
    </w:pPr>
    <w:rPr>
      <w:sz w:val="20"/>
      <w:szCs w:val="20"/>
    </w:rPr>
  </w:style>
  <w:style w:type="paragraph" w:customStyle="1" w:styleId="pagebreak">
    <w:name w:val="pagebreak"/>
    <w:basedOn w:val="a"/>
    <w:pPr>
      <w:pageBreakBefore/>
      <w:spacing w:before="100" w:beforeAutospacing="1" w:after="100" w:afterAutospacing="1"/>
    </w:pPr>
  </w:style>
  <w:style w:type="character" w:customStyle="1" w:styleId="small-text1">
    <w:name w:val="small-text1"/>
    <w:basedOn w:val="a0"/>
    <w:rPr>
      <w:sz w:val="20"/>
      <w:szCs w:val="20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nicode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633</Words>
  <Characters>4398</Characters>
  <Application>Microsoft Office Word</Application>
  <DocSecurity>0</DocSecurity>
  <Lines>36</Lines>
  <Paragraphs>10</Paragraphs>
  <ScaleCrop>false</ScaleCrop>
  <Company/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3</cp:revision>
  <dcterms:created xsi:type="dcterms:W3CDTF">2019-04-15T15:25:00Z</dcterms:created>
  <dcterms:modified xsi:type="dcterms:W3CDTF">2019-04-15T15:26:00Z</dcterms:modified>
</cp:coreProperties>
</file>