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3B" w:rsidRDefault="005409C7">
      <w:pPr>
        <w:pStyle w:val="3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Титульний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аркуш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br/>
        <w:t>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4956" w:type="pct"/>
        <w:tblLook w:val="04A0"/>
      </w:tblPr>
      <w:tblGrid>
        <w:gridCol w:w="349"/>
        <w:gridCol w:w="4418"/>
        <w:gridCol w:w="180"/>
        <w:gridCol w:w="821"/>
        <w:gridCol w:w="180"/>
        <w:gridCol w:w="4286"/>
      </w:tblGrid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(дата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емітентом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№</w:t>
            </w:r>
          </w:p>
        </w:tc>
        <w:tc>
          <w:tcPr>
            <w:tcW w:w="0" w:type="auto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12/04-19/ос.1</w:t>
            </w:r>
          </w:p>
        </w:tc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вихідний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реєстраційний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номер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C213B">
        <w:tc>
          <w:tcPr>
            <w:tcW w:w="0" w:type="auto"/>
            <w:gridSpan w:val="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</w:rPr>
              <w:t>П</w:t>
            </w:r>
            <w:proofErr w:type="gramEnd"/>
            <w:r>
              <w:rPr>
                <w:rFonts w:eastAsia="Times New Roman"/>
                <w:color w:val="000000"/>
              </w:rPr>
              <w:t>ідтверджую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ідентичність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</w:rPr>
              <w:t>достовірність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розкрита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відповідно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вимог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Положення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розкриття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затвердженого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рішенням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Національної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комісії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 та фондового ринку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03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№ 2826, </w:t>
            </w:r>
            <w:proofErr w:type="spellStart"/>
            <w:r>
              <w:rPr>
                <w:rFonts w:eastAsia="Times New Roman"/>
                <w:color w:val="000000"/>
              </w:rPr>
              <w:t>зареєстрованого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Міністерстві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юстиції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 xml:space="preserve"> 24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за № 2180/24712 (</w:t>
            </w:r>
            <w:proofErr w:type="spellStart"/>
            <w:r>
              <w:rPr>
                <w:rFonts w:eastAsia="Times New Roman"/>
                <w:color w:val="000000"/>
              </w:rPr>
              <w:t>із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змінами</w:t>
            </w:r>
            <w:proofErr w:type="spellEnd"/>
            <w:r>
              <w:rPr>
                <w:rFonts w:eastAsia="Times New Roman"/>
                <w:color w:val="000000"/>
              </w:rPr>
              <w:t xml:space="preserve">) </w:t>
            </w:r>
          </w:p>
        </w:tc>
      </w:tr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7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Президент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27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Лимар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ванович</w:t>
            </w:r>
            <w:proofErr w:type="spellEnd"/>
          </w:p>
        </w:tc>
      </w:tr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(посада)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ідпис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пр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ізвище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</w:tr>
    </w:tbl>
    <w:p w:rsidR="007C213B" w:rsidRDefault="007C213B">
      <w:pPr>
        <w:rPr>
          <w:rFonts w:eastAsia="Times New Roman"/>
          <w:color w:val="000000"/>
        </w:rPr>
      </w:pPr>
    </w:p>
    <w:p w:rsidR="007C213B" w:rsidRDefault="005409C7">
      <w:pPr>
        <w:pStyle w:val="4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Особлива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іпотечні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цінні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папери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сертифікати</w:t>
      </w:r>
      <w:proofErr w:type="spellEnd"/>
      <w:r>
        <w:rPr>
          <w:rFonts w:eastAsia="Times New Roman"/>
          <w:color w:val="000000"/>
        </w:rPr>
        <w:t xml:space="preserve"> фонду </w:t>
      </w:r>
      <w:proofErr w:type="spellStart"/>
      <w:r>
        <w:rPr>
          <w:rFonts w:eastAsia="Times New Roman"/>
          <w:color w:val="000000"/>
        </w:rPr>
        <w:t>операцій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нерухомістю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емітента</w:t>
      </w:r>
      <w:proofErr w:type="spellEnd"/>
    </w:p>
    <w:p w:rsidR="007C213B" w:rsidRDefault="005409C7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I. </w:t>
      </w:r>
      <w:proofErr w:type="spellStart"/>
      <w:r>
        <w:rPr>
          <w:rFonts w:eastAsia="Times New Roman"/>
          <w:color w:val="000000"/>
        </w:rPr>
        <w:t>Загальні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відомості</w:t>
      </w:r>
      <w:proofErr w:type="spellEnd"/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325"/>
      </w:tblGrid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1. </w:t>
            </w:r>
            <w:proofErr w:type="spellStart"/>
            <w:r>
              <w:rPr>
                <w:rFonts w:eastAsia="Times New Roman"/>
                <w:color w:val="000000"/>
              </w:rPr>
              <w:t>Повне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</w:t>
            </w:r>
            <w:proofErr w:type="spellEnd"/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ПРИВАТНЕ АКЦ</w:t>
            </w:r>
            <w:proofErr w:type="gramStart"/>
            <w:r>
              <w:rPr>
                <w:rFonts w:eastAsia="Times New Roman"/>
                <w:i/>
                <w:iCs/>
                <w:color w:val="000000"/>
              </w:rPr>
              <w:t>I</w:t>
            </w:r>
            <w:proofErr w:type="gramEnd"/>
            <w:r>
              <w:rPr>
                <w:rFonts w:eastAsia="Times New Roman"/>
                <w:i/>
                <w:iCs/>
                <w:color w:val="000000"/>
              </w:rPr>
              <w:t>ОНЕРНЕ ТОВАРИСТВО "IНФУЗIЯ"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</w:rPr>
              <w:t>Організаційно-правова</w:t>
            </w:r>
            <w:proofErr w:type="spellEnd"/>
            <w:r>
              <w:rPr>
                <w:rFonts w:eastAsia="Times New Roman"/>
                <w:color w:val="000000"/>
              </w:rPr>
              <w:t xml:space="preserve"> форма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Приватне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акціонерне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товариство</w:t>
            </w:r>
            <w:proofErr w:type="spellEnd"/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3. </w:t>
            </w:r>
            <w:proofErr w:type="spellStart"/>
            <w:r>
              <w:rPr>
                <w:rFonts w:eastAsia="Times New Roman"/>
                <w:color w:val="000000"/>
              </w:rPr>
              <w:t>Місцезнаходження</w:t>
            </w:r>
            <w:proofErr w:type="spellEnd"/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04073, м. </w:t>
            </w:r>
            <w:proofErr w:type="spellStart"/>
            <w:r>
              <w:rPr>
                <w:rFonts w:eastAsia="Times New Roman"/>
                <w:color w:val="000000"/>
              </w:rPr>
              <w:t>Київ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Московський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проспект, 21-А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4.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31287944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5. </w:t>
            </w:r>
            <w:proofErr w:type="spellStart"/>
            <w:r>
              <w:rPr>
                <w:rFonts w:eastAsia="Times New Roman"/>
                <w:color w:val="000000"/>
              </w:rPr>
              <w:t>Міжміський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та телефон, факс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044 490 93 75/76/77 044 464 92 66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6. Адреса </w:t>
            </w:r>
            <w:proofErr w:type="spellStart"/>
            <w:r>
              <w:rPr>
                <w:rFonts w:eastAsia="Times New Roman"/>
                <w:color w:val="000000"/>
              </w:rPr>
              <w:t>електронної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пошти</w:t>
            </w:r>
            <w:proofErr w:type="spellEnd"/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info@infuzia.com.ua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7.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особи, </w:t>
            </w:r>
            <w:proofErr w:type="spellStart"/>
            <w:r>
              <w:rPr>
                <w:rFonts w:eastAsia="Times New Roman"/>
                <w:color w:val="000000"/>
              </w:rPr>
              <w:t>країна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 та номер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св</w:t>
            </w:r>
            <w:proofErr w:type="gramEnd"/>
            <w:r>
              <w:rPr>
                <w:rFonts w:eastAsia="Times New Roman"/>
                <w:color w:val="000000"/>
              </w:rPr>
              <w:t>ідоцтва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включення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Реєстру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осіб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уповноважених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надавати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інформаційні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послуги</w:t>
            </w:r>
            <w:proofErr w:type="spellEnd"/>
            <w:r>
              <w:rPr>
                <w:rFonts w:eastAsia="Times New Roman"/>
                <w:color w:val="000000"/>
              </w:rPr>
              <w:t xml:space="preserve"> на фондовому ринку, особи, яка </w:t>
            </w:r>
            <w:proofErr w:type="spellStart"/>
            <w:r>
              <w:rPr>
                <w:rFonts w:eastAsia="Times New Roman"/>
                <w:color w:val="000000"/>
              </w:rPr>
              <w:t>здійснює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регульованої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імені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фондового ринку.</w:t>
            </w:r>
          </w:p>
        </w:tc>
      </w:tr>
      <w:tr w:rsidR="007C213B">
        <w:tc>
          <w:tcPr>
            <w:tcW w:w="0" w:type="auto"/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Державна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установа</w:t>
            </w:r>
            <w:proofErr w:type="spellEnd"/>
            <w:r>
              <w:rPr>
                <w:rFonts w:eastAsia="Times New Roman"/>
                <w:color w:val="000000"/>
              </w:rPr>
              <w:t xml:space="preserve"> "Агентство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розвитку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iнфраструктури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>"</w:t>
            </w:r>
            <w:r>
              <w:rPr>
                <w:rFonts w:eastAsia="Times New Roman"/>
                <w:color w:val="000000"/>
              </w:rPr>
              <w:br/>
              <w:t>21676262</w:t>
            </w:r>
            <w:r>
              <w:rPr>
                <w:rFonts w:eastAsia="Times New Roman"/>
                <w:color w:val="000000"/>
              </w:rPr>
              <w:br/>
              <w:t xml:space="preserve">УКРАЇНА </w:t>
            </w:r>
            <w:r>
              <w:rPr>
                <w:rFonts w:eastAsia="Times New Roman"/>
                <w:color w:val="000000"/>
              </w:rPr>
              <w:br/>
              <w:t>DR/00001/APA</w:t>
            </w:r>
          </w:p>
        </w:tc>
      </w:tr>
    </w:tbl>
    <w:p w:rsidR="007C213B" w:rsidRDefault="005409C7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II. </w:t>
      </w:r>
      <w:proofErr w:type="spellStart"/>
      <w:proofErr w:type="gramStart"/>
      <w:r>
        <w:rPr>
          <w:rFonts w:eastAsia="Times New Roman"/>
          <w:color w:val="000000"/>
        </w:rPr>
        <w:t>Дан</w:t>
      </w:r>
      <w:proofErr w:type="gramEnd"/>
      <w:r>
        <w:rPr>
          <w:rFonts w:eastAsia="Times New Roman"/>
          <w:color w:val="000000"/>
        </w:rPr>
        <w:t>і</w:t>
      </w:r>
      <w:proofErr w:type="spellEnd"/>
      <w:r>
        <w:rPr>
          <w:rFonts w:eastAsia="Times New Roman"/>
          <w:color w:val="000000"/>
        </w:rPr>
        <w:t xml:space="preserve"> про дату та </w:t>
      </w:r>
      <w:proofErr w:type="spellStart"/>
      <w:r>
        <w:rPr>
          <w:rFonts w:eastAsia="Times New Roman"/>
          <w:color w:val="000000"/>
        </w:rPr>
        <w:t>місце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оприлюднення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5000" w:type="pct"/>
        <w:tblLook w:val="04A0"/>
      </w:tblPr>
      <w:tblGrid>
        <w:gridCol w:w="7105"/>
        <w:gridCol w:w="1840"/>
        <w:gridCol w:w="180"/>
        <w:gridCol w:w="1200"/>
      </w:tblGrid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Повідомлення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розміщено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власному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веб-сайті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www.infuzia.com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15.04.2019</w:t>
            </w:r>
          </w:p>
        </w:tc>
      </w:tr>
      <w:tr w:rsidR="007C213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(адреса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сторінки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7C21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</w:tbl>
    <w:p w:rsidR="007C213B" w:rsidRDefault="007C213B">
      <w:pPr>
        <w:rPr>
          <w:rFonts w:eastAsia="Times New Roman"/>
          <w:color w:val="000000"/>
        </w:rPr>
        <w:sectPr w:rsidR="007C213B">
          <w:pgSz w:w="11907" w:h="16840"/>
          <w:pgMar w:top="568" w:right="851" w:bottom="851" w:left="851" w:header="0" w:footer="0" w:gutter="0"/>
          <w:cols w:space="708"/>
          <w:docGrid w:linePitch="360"/>
        </w:sectPr>
      </w:pPr>
    </w:p>
    <w:p w:rsidR="007C213B" w:rsidRDefault="005409C7">
      <w:pPr>
        <w:pStyle w:val="3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Відомості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прийняття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proofErr w:type="gramStart"/>
      <w:r>
        <w:rPr>
          <w:rFonts w:eastAsia="Times New Roman"/>
          <w:color w:val="000000"/>
        </w:rPr>
        <w:t>р</w:t>
      </w:r>
      <w:proofErr w:type="gramEnd"/>
      <w:r>
        <w:rPr>
          <w:rFonts w:eastAsia="Times New Roman"/>
          <w:color w:val="000000"/>
        </w:rPr>
        <w:t>ішення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надання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згоди</w:t>
      </w:r>
      <w:proofErr w:type="spellEnd"/>
      <w:r>
        <w:rPr>
          <w:rFonts w:eastAsia="Times New Roman"/>
          <w:color w:val="000000"/>
        </w:rPr>
        <w:t xml:space="preserve"> на </w:t>
      </w:r>
      <w:proofErr w:type="spellStart"/>
      <w:r>
        <w:rPr>
          <w:rFonts w:eastAsia="Times New Roman"/>
          <w:color w:val="000000"/>
        </w:rPr>
        <w:t>вчинення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значних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правочинів</w:t>
      </w:r>
      <w:proofErr w:type="spellEnd"/>
    </w:p>
    <w:tbl>
      <w:tblPr>
        <w:tblW w:w="5000" w:type="pct"/>
        <w:tblLook w:val="04A0"/>
      </w:tblPr>
      <w:tblGrid>
        <w:gridCol w:w="748"/>
        <w:gridCol w:w="1498"/>
        <w:gridCol w:w="2995"/>
        <w:gridCol w:w="2246"/>
        <w:gridCol w:w="3205"/>
        <w:gridCol w:w="4283"/>
      </w:tblGrid>
      <w:tr w:rsidR="007C213B">
        <w:trPr>
          <w:tblHeader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№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/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Дата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р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ішення</w:t>
            </w:r>
            <w:proofErr w:type="spellEnd"/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Ринкова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вартість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майна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або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послуг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що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є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предметом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(тис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.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г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рн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Вартість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активів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емітента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даними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останньої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р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ічної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фінансової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звітності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(тис.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грн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Спі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вв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ідношення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ринкової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вартості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майна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або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послуг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що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є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предметом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до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вартості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активів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емітента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даними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останньої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річної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фінансової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звітності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(у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відсотках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1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Адреса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сторінки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власного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веб-сайту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на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якій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розміщений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протокол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загальних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зборів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акціонерів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засідання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наглядової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ради, на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яких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якому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прийняте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р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ішення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</w:tr>
      <w:tr w:rsidR="007C213B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1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</w:tr>
      <w:tr w:rsidR="007C21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Pr="00D61787" w:rsidRDefault="005409C7">
            <w:pPr>
              <w:jc w:val="center"/>
              <w:rPr>
                <w:rFonts w:eastAsia="Times New Roman"/>
                <w:color w:val="000000"/>
              </w:rPr>
            </w:pPr>
            <w:r w:rsidRPr="00D61787">
              <w:rPr>
                <w:rFonts w:eastAsia="Times New Roman"/>
                <w:color w:val="000000"/>
              </w:rPr>
              <w:t>150000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Pr="00D61787" w:rsidRDefault="005409C7">
            <w:pPr>
              <w:jc w:val="center"/>
              <w:rPr>
                <w:rFonts w:eastAsia="Times New Roman"/>
                <w:color w:val="000000"/>
              </w:rPr>
            </w:pPr>
            <w:r w:rsidRPr="00D61787">
              <w:rPr>
                <w:rFonts w:eastAsia="Times New Roman"/>
                <w:color w:val="000000"/>
              </w:rPr>
              <w:t>318576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Pr="00D61787" w:rsidRDefault="005409C7">
            <w:pPr>
              <w:jc w:val="center"/>
              <w:rPr>
                <w:rFonts w:eastAsia="Times New Roman"/>
                <w:color w:val="000000"/>
              </w:rPr>
            </w:pPr>
            <w:r w:rsidRPr="00D61787">
              <w:rPr>
                <w:rFonts w:eastAsia="Times New Roman"/>
                <w:color w:val="000000"/>
              </w:rPr>
              <w:t>47.08</w:t>
            </w:r>
          </w:p>
        </w:tc>
        <w:tc>
          <w:tcPr>
            <w:tcW w:w="1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http://infuzia.com/</w:t>
            </w:r>
          </w:p>
        </w:tc>
      </w:tr>
      <w:tr w:rsidR="007C213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7C213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213B" w:rsidRDefault="005409C7" w:rsidP="002203EB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Дата </w:t>
            </w:r>
            <w:proofErr w:type="spellStart"/>
            <w:r>
              <w:rPr>
                <w:rFonts w:eastAsia="Times New Roman"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надання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згоди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вчинення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значного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color w:val="000000"/>
              </w:rPr>
              <w:t xml:space="preserve"> - 12.04.2019 р.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Назва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уповноваженого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прийняв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: </w:t>
            </w:r>
            <w:proofErr w:type="spellStart"/>
            <w:r>
              <w:rPr>
                <w:rFonts w:eastAsia="Times New Roman"/>
                <w:color w:val="000000"/>
              </w:rPr>
              <w:t>Загальн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«</w:t>
            </w:r>
            <w:proofErr w:type="spellStart"/>
            <w:r>
              <w:rPr>
                <w:rFonts w:eastAsia="Times New Roman"/>
                <w:color w:val="000000"/>
              </w:rPr>
              <w:t>Iнфузiя</w:t>
            </w:r>
            <w:proofErr w:type="spellEnd"/>
            <w:r>
              <w:rPr>
                <w:rFonts w:eastAsia="Times New Roman"/>
                <w:color w:val="000000"/>
              </w:rPr>
              <w:t xml:space="preserve">» на </w:t>
            </w:r>
            <w:proofErr w:type="spellStart"/>
            <w:r>
              <w:rPr>
                <w:rFonts w:eastAsia="Times New Roman"/>
                <w:color w:val="000000"/>
              </w:rPr>
              <w:t>пiдставi</w:t>
            </w:r>
            <w:proofErr w:type="spellEnd"/>
            <w:r>
              <w:rPr>
                <w:rFonts w:eastAsia="Times New Roman"/>
                <w:color w:val="000000"/>
              </w:rPr>
              <w:t xml:space="preserve"> п. 21 ст. 14.1. Статуту та </w:t>
            </w:r>
            <w:proofErr w:type="spellStart"/>
            <w:r>
              <w:rPr>
                <w:rFonts w:eastAsia="Times New Roman"/>
                <w:color w:val="000000"/>
              </w:rPr>
              <w:t>р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«</w:t>
            </w:r>
            <w:proofErr w:type="spellStart"/>
            <w:r>
              <w:rPr>
                <w:rFonts w:eastAsia="Times New Roman"/>
                <w:color w:val="000000"/>
              </w:rPr>
              <w:t>Iнфузiя</w:t>
            </w:r>
            <w:proofErr w:type="spellEnd"/>
            <w:r>
              <w:rPr>
                <w:rFonts w:eastAsia="Times New Roman"/>
                <w:color w:val="000000"/>
              </w:rPr>
              <w:t xml:space="preserve">» (Протокол № </w:t>
            </w:r>
            <w:r w:rsidR="002203EB">
              <w:rPr>
                <w:rFonts w:eastAsia="Times New Roman"/>
                <w:color w:val="000000"/>
                <w:lang w:val="uk-UA"/>
              </w:rPr>
              <w:t>30</w:t>
            </w:r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р.), </w:t>
            </w:r>
            <w:proofErr w:type="spellStart"/>
            <w:r>
              <w:rPr>
                <w:rFonts w:eastAsia="Times New Roman"/>
                <w:color w:val="000000"/>
              </w:rPr>
              <w:t>щодо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згоди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вчинення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значних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правочинiв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суму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перевищує</w:t>
            </w:r>
            <w:proofErr w:type="spellEnd"/>
            <w:r>
              <w:rPr>
                <w:rFonts w:eastAsia="Times New Roman"/>
                <w:color w:val="000000"/>
              </w:rPr>
              <w:t xml:space="preserve"> 10 </w:t>
            </w:r>
            <w:proofErr w:type="spellStart"/>
            <w:r>
              <w:rPr>
                <w:rFonts w:eastAsia="Times New Roman"/>
                <w:color w:val="000000"/>
              </w:rPr>
              <w:t>вiдсоткiв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активiв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даними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останньої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фiнансової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звiтностi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  <w:t xml:space="preserve">Предмет </w:t>
            </w:r>
            <w:proofErr w:type="spellStart"/>
            <w:r>
              <w:rPr>
                <w:rFonts w:eastAsia="Times New Roman"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color w:val="000000"/>
              </w:rPr>
              <w:t xml:space="preserve"> -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кредиту.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Ринкова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майна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послуг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 xml:space="preserve"> предметом </w:t>
            </w:r>
            <w:proofErr w:type="spellStart"/>
            <w:r>
              <w:rPr>
                <w:rFonts w:eastAsia="Times New Roman"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color w:val="000000"/>
              </w:rPr>
              <w:t xml:space="preserve"> - 150 000 тис</w:t>
            </w:r>
            <w:proofErr w:type="gramStart"/>
            <w:r>
              <w:rPr>
                <w:rFonts w:eastAsia="Times New Roman"/>
                <w:color w:val="000000"/>
              </w:rPr>
              <w:t>.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г</w:t>
            </w:r>
            <w:proofErr w:type="gramEnd"/>
            <w:r>
              <w:rPr>
                <w:rFonts w:eastAsia="Times New Roman"/>
                <w:color w:val="000000"/>
              </w:rPr>
              <w:t>рн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Вартiсть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активiв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даними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останньої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фiнансової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звiтностi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- 318 576 тис</w:t>
            </w:r>
            <w:proofErr w:type="gramStart"/>
            <w:r>
              <w:rPr>
                <w:rFonts w:eastAsia="Times New Roman"/>
                <w:color w:val="000000"/>
              </w:rPr>
              <w:t>.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г</w:t>
            </w:r>
            <w:proofErr w:type="gramEnd"/>
            <w:r>
              <w:rPr>
                <w:rFonts w:eastAsia="Times New Roman"/>
                <w:color w:val="000000"/>
              </w:rPr>
              <w:t>рн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Сп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ввiдношення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ринкової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майна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послуг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 xml:space="preserve"> предметом </w:t>
            </w:r>
            <w:proofErr w:type="spellStart"/>
            <w:r>
              <w:rPr>
                <w:rFonts w:eastAsia="Times New Roman"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color w:val="000000"/>
              </w:rPr>
              <w:t xml:space="preserve">, до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активiв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даними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останньої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фiнансової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звiтностi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(у </w:t>
            </w:r>
            <w:proofErr w:type="spellStart"/>
            <w:r>
              <w:rPr>
                <w:rFonts w:eastAsia="Times New Roman"/>
                <w:color w:val="000000"/>
              </w:rPr>
              <w:t>вiдсотках</w:t>
            </w:r>
            <w:proofErr w:type="spellEnd"/>
            <w:r>
              <w:rPr>
                <w:rFonts w:eastAsia="Times New Roman"/>
                <w:color w:val="000000"/>
              </w:rPr>
              <w:t>): 47,08%.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Загальна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кiлькiсть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голосуючих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>: 59000.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К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лькiсть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голосуючих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зареєстрованi</w:t>
            </w:r>
            <w:proofErr w:type="spellEnd"/>
            <w:r>
              <w:rPr>
                <w:rFonts w:eastAsia="Times New Roman"/>
                <w:color w:val="000000"/>
              </w:rPr>
              <w:t xml:space="preserve"> для </w:t>
            </w:r>
            <w:proofErr w:type="spellStart"/>
            <w:r>
              <w:rPr>
                <w:rFonts w:eastAsia="Times New Roman"/>
                <w:color w:val="000000"/>
              </w:rPr>
              <w:t>участi</w:t>
            </w:r>
            <w:proofErr w:type="spellEnd"/>
            <w:r>
              <w:rPr>
                <w:rFonts w:eastAsia="Times New Roman"/>
                <w:color w:val="000000"/>
              </w:rPr>
              <w:t xml:space="preserve"> у </w:t>
            </w:r>
            <w:proofErr w:type="spellStart"/>
            <w:r>
              <w:rPr>
                <w:rFonts w:eastAsia="Times New Roman"/>
                <w:color w:val="000000"/>
              </w:rPr>
              <w:t>загальних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зборах</w:t>
            </w:r>
            <w:proofErr w:type="spellEnd"/>
            <w:r>
              <w:rPr>
                <w:rFonts w:eastAsia="Times New Roman"/>
                <w:color w:val="000000"/>
              </w:rPr>
              <w:t>: 59000.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К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лькiсть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голосуючих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проголосували</w:t>
            </w:r>
            <w:proofErr w:type="spellEnd"/>
            <w:r>
              <w:rPr>
                <w:rFonts w:eastAsia="Times New Roman"/>
                <w:color w:val="000000"/>
              </w:rPr>
              <w:t xml:space="preserve"> «за» </w:t>
            </w:r>
            <w:proofErr w:type="spellStart"/>
            <w:r>
              <w:rPr>
                <w:rFonts w:eastAsia="Times New Roman"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>: 59000.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К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лькiсть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голосуючих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проголосували</w:t>
            </w:r>
            <w:proofErr w:type="spellEnd"/>
            <w:r>
              <w:rPr>
                <w:rFonts w:eastAsia="Times New Roman"/>
                <w:color w:val="000000"/>
              </w:rPr>
              <w:t xml:space="preserve"> «</w:t>
            </w:r>
            <w:proofErr w:type="spellStart"/>
            <w:r>
              <w:rPr>
                <w:rFonts w:eastAsia="Times New Roman"/>
                <w:color w:val="000000"/>
              </w:rPr>
              <w:t>проти</w:t>
            </w:r>
            <w:proofErr w:type="spellEnd"/>
            <w:r>
              <w:rPr>
                <w:rFonts w:eastAsia="Times New Roman"/>
                <w:color w:val="000000"/>
              </w:rPr>
              <w:t xml:space="preserve">» </w:t>
            </w:r>
            <w:proofErr w:type="spellStart"/>
            <w:r>
              <w:rPr>
                <w:rFonts w:eastAsia="Times New Roman"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>: 0.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Додатков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критерiї</w:t>
            </w:r>
            <w:proofErr w:type="spellEnd"/>
            <w:r>
              <w:rPr>
                <w:rFonts w:eastAsia="Times New Roman"/>
                <w:color w:val="000000"/>
              </w:rPr>
              <w:t xml:space="preserve"> для </w:t>
            </w:r>
            <w:proofErr w:type="spellStart"/>
            <w:r>
              <w:rPr>
                <w:rFonts w:eastAsia="Times New Roman"/>
                <w:color w:val="000000"/>
              </w:rPr>
              <w:t>вiднесення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значного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передбаченi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законодавством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якщо</w:t>
            </w:r>
            <w:proofErr w:type="spellEnd"/>
            <w:r>
              <w:rPr>
                <w:rFonts w:eastAsia="Times New Roman"/>
                <w:color w:val="000000"/>
              </w:rPr>
              <w:t xml:space="preserve"> вони </w:t>
            </w:r>
            <w:proofErr w:type="spellStart"/>
            <w:r>
              <w:rPr>
                <w:rFonts w:eastAsia="Times New Roman"/>
                <w:color w:val="000000"/>
              </w:rPr>
              <w:t>визначенi</w:t>
            </w:r>
            <w:proofErr w:type="spellEnd"/>
            <w:r>
              <w:rPr>
                <w:rFonts w:eastAsia="Times New Roman"/>
                <w:color w:val="000000"/>
              </w:rPr>
              <w:t xml:space="preserve"> статутом </w:t>
            </w:r>
            <w:proofErr w:type="spellStart"/>
            <w:r>
              <w:rPr>
                <w:rFonts w:eastAsia="Times New Roman"/>
                <w:color w:val="000000"/>
              </w:rPr>
              <w:t>акцiонерного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</w:t>
            </w:r>
            <w:proofErr w:type="spellStart"/>
            <w:r>
              <w:rPr>
                <w:rFonts w:eastAsia="Times New Roman"/>
                <w:color w:val="000000"/>
              </w:rPr>
              <w:t>вiдповiдно</w:t>
            </w:r>
            <w:proofErr w:type="spellEnd"/>
            <w:r>
              <w:rPr>
                <w:rFonts w:eastAsia="Times New Roman"/>
                <w:color w:val="000000"/>
              </w:rPr>
              <w:t xml:space="preserve"> до п. 21 ст. 14.1. Статуту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значних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правочин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вчинення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яких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надано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виключно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Загальним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вiдноситься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правочини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у </w:t>
            </w:r>
            <w:proofErr w:type="spellStart"/>
            <w:r>
              <w:rPr>
                <w:rFonts w:eastAsia="Times New Roman"/>
                <w:color w:val="000000"/>
              </w:rPr>
              <w:t>яких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ринкова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майна, </w:t>
            </w:r>
            <w:proofErr w:type="spellStart"/>
            <w:r>
              <w:rPr>
                <w:rFonts w:eastAsia="Times New Roman"/>
                <w:color w:val="000000"/>
              </w:rPr>
              <w:t>робiт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послуг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 xml:space="preserve"> предметом такого </w:t>
            </w:r>
            <w:proofErr w:type="spellStart"/>
            <w:r>
              <w:rPr>
                <w:rFonts w:eastAsia="Times New Roman"/>
                <w:color w:val="000000"/>
              </w:rPr>
              <w:t>правочину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перевищує</w:t>
            </w:r>
            <w:proofErr w:type="spellEnd"/>
            <w:r>
              <w:rPr>
                <w:rFonts w:eastAsia="Times New Roman"/>
                <w:color w:val="000000"/>
              </w:rPr>
              <w:t xml:space="preserve"> 10 </w:t>
            </w:r>
            <w:proofErr w:type="spellStart"/>
            <w:r>
              <w:rPr>
                <w:rFonts w:eastAsia="Times New Roman"/>
                <w:color w:val="000000"/>
              </w:rPr>
              <w:t>вiдсоткiв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активiв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даними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останньої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фiнансової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звiтностi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</w:p>
        </w:tc>
      </w:tr>
    </w:tbl>
    <w:p w:rsidR="007C213B" w:rsidRDefault="007C213B">
      <w:pPr>
        <w:rPr>
          <w:rFonts w:eastAsia="Times New Roman"/>
        </w:rPr>
      </w:pPr>
    </w:p>
    <w:sectPr w:rsidR="007C213B" w:rsidSect="007C213B">
      <w:pgSz w:w="16840" w:h="11907" w:orient="landscape"/>
      <w:pgMar w:top="1134" w:right="1134" w:bottom="851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noPunctuationKerning/>
  <w:characterSpacingControl w:val="doNotCompress"/>
  <w:compat/>
  <w:rsids>
    <w:rsidRoot w:val="005409C7"/>
    <w:rsid w:val="002203EB"/>
    <w:rsid w:val="005409C7"/>
    <w:rsid w:val="007C213B"/>
    <w:rsid w:val="00D6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3B"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rsid w:val="007C213B"/>
    <w:pPr>
      <w:spacing w:after="30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7C213B"/>
    <w:pPr>
      <w:spacing w:after="225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7C213B"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C213B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C213B"/>
    <w:pPr>
      <w:spacing w:before="100" w:beforeAutospacing="1" w:after="100" w:afterAutospacing="1"/>
    </w:pPr>
  </w:style>
  <w:style w:type="paragraph" w:customStyle="1" w:styleId="justify">
    <w:name w:val="justify"/>
    <w:basedOn w:val="a"/>
    <w:uiPriority w:val="99"/>
    <w:semiHidden/>
    <w:rsid w:val="007C213B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uiPriority w:val="99"/>
    <w:semiHidden/>
    <w:rsid w:val="007C213B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uiPriority w:val="99"/>
    <w:semiHidden/>
    <w:rsid w:val="007C213B"/>
    <w:pPr>
      <w:spacing w:before="100" w:beforeAutospacing="1" w:after="100" w:afterAutospacing="1"/>
    </w:pPr>
  </w:style>
  <w:style w:type="paragraph" w:customStyle="1" w:styleId="right">
    <w:name w:val="right"/>
    <w:basedOn w:val="a"/>
    <w:uiPriority w:val="99"/>
    <w:semiHidden/>
    <w:rsid w:val="007C213B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uiPriority w:val="99"/>
    <w:semiHidden/>
    <w:rsid w:val="007C213B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uiPriority w:val="99"/>
    <w:semiHidden/>
    <w:rsid w:val="007C213B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uiPriority w:val="99"/>
    <w:semiHidden/>
    <w:rsid w:val="007C213B"/>
    <w:pPr>
      <w:spacing w:before="100" w:beforeAutospacing="1" w:after="100" w:afterAutospacing="1"/>
    </w:pPr>
  </w:style>
  <w:style w:type="paragraph" w:customStyle="1" w:styleId="brdbtm">
    <w:name w:val="brdbtm"/>
    <w:basedOn w:val="a"/>
    <w:uiPriority w:val="99"/>
    <w:semiHidden/>
    <w:rsid w:val="007C213B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uiPriority w:val="99"/>
    <w:semiHidden/>
    <w:rsid w:val="007C213B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uiPriority w:val="99"/>
    <w:semiHidden/>
    <w:rsid w:val="007C213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uiPriority w:val="99"/>
    <w:semiHidden/>
    <w:rsid w:val="007C213B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uiPriority w:val="99"/>
    <w:semiHidden/>
    <w:rsid w:val="007C213B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sid w:val="007C213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525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4</cp:revision>
  <dcterms:created xsi:type="dcterms:W3CDTF">2019-04-15T12:28:00Z</dcterms:created>
  <dcterms:modified xsi:type="dcterms:W3CDTF">2019-04-15T15:40:00Z</dcterms:modified>
</cp:coreProperties>
</file>